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E1403">
      <w:pPr>
        <w:spacing w:line="360" w:lineRule="auto"/>
        <w:jc w:val="center"/>
        <w:rPr>
          <w:rFonts w:hint="eastAsia" w:ascii="黑体" w:hAnsi="黑体" w:eastAsia="黑体" w:cs="黑体"/>
          <w:b/>
          <w:bCs/>
          <w:sz w:val="32"/>
          <w:szCs w:val="32"/>
        </w:rPr>
      </w:pPr>
      <w:bookmarkStart w:id="0" w:name="_GoBack"/>
      <w:r>
        <w:rPr>
          <w:rFonts w:hint="eastAsia" w:ascii="黑体" w:hAnsi="黑体" w:eastAsia="黑体" w:cs="黑体"/>
          <w:b/>
          <w:bCs/>
          <w:sz w:val="32"/>
          <w:szCs w:val="32"/>
        </w:rPr>
        <w:t>汉普郡</w:t>
      </w:r>
      <w:r>
        <w:rPr>
          <w:rFonts w:hint="eastAsia" w:ascii="黑体" w:hAnsi="黑体" w:eastAsia="黑体" w:cs="黑体"/>
          <w:b/>
          <w:bCs/>
          <w:sz w:val="32"/>
          <w:szCs w:val="32"/>
        </w:rPr>
        <w:t>（Hampshire）的甜甜圈经济政策及对中国的启示</w:t>
      </w:r>
    </w:p>
    <w:bookmarkEnd w:id="0"/>
    <w:p w14:paraId="0D485E3F">
      <w:pPr>
        <w:spacing w:line="360" w:lineRule="auto"/>
        <w:jc w:val="center"/>
        <w:rPr>
          <w:rFonts w:hint="eastAsia" w:ascii="华文楷体" w:hAnsi="华文楷体" w:eastAsia="华文楷体" w:cs="华文楷体"/>
          <w:b/>
          <w:bCs/>
          <w:sz w:val="28"/>
          <w:szCs w:val="28"/>
          <w:lang w:val="en-US" w:eastAsia="zh-CN"/>
        </w:rPr>
      </w:pPr>
      <w:r>
        <w:rPr>
          <w:rFonts w:hint="eastAsia" w:ascii="华文楷体" w:hAnsi="华文楷体" w:eastAsia="华文楷体" w:cs="华文楷体"/>
          <w:b/>
          <w:bCs/>
          <w:sz w:val="28"/>
          <w:szCs w:val="28"/>
          <w:lang w:val="en-US" w:eastAsia="zh-CN"/>
        </w:rPr>
        <w:t>物理与天文学院 任隽浩</w:t>
      </w:r>
    </w:p>
    <w:p w14:paraId="161B38D8">
      <w:pPr>
        <w:spacing w:line="360" w:lineRule="auto"/>
        <w:jc w:val="left"/>
        <w:rPr>
          <w:rFonts w:hint="eastAsia" w:ascii="宋体" w:hAnsi="宋体" w:eastAsia="宋体" w:cstheme="majorEastAsia"/>
          <w:b/>
          <w:bCs/>
          <w:sz w:val="24"/>
          <w:szCs w:val="24"/>
        </w:rPr>
      </w:pPr>
      <w:r>
        <w:rPr>
          <w:rFonts w:hint="eastAsia" w:ascii="宋体" w:hAnsi="宋体" w:eastAsia="宋体" w:cstheme="majorEastAsia"/>
          <w:b/>
          <w:bCs/>
          <w:sz w:val="24"/>
          <w:szCs w:val="24"/>
        </w:rPr>
        <w:t>摘要</w:t>
      </w:r>
    </w:p>
    <w:p w14:paraId="08F58C0E">
      <w:pPr>
        <w:spacing w:line="360" w:lineRule="auto"/>
        <w:ind w:firstLine="480" w:firstLineChars="200"/>
        <w:jc w:val="left"/>
        <w:rPr>
          <w:rFonts w:hint="eastAsia" w:ascii="宋体" w:hAnsi="宋体" w:eastAsia="宋体" w:cstheme="majorEastAsia"/>
          <w:b w:val="0"/>
          <w:bCs w:val="0"/>
          <w:sz w:val="24"/>
          <w:szCs w:val="24"/>
        </w:rPr>
      </w:pPr>
      <w:r>
        <w:rPr>
          <w:rFonts w:hint="eastAsia" w:ascii="宋体" w:hAnsi="宋体" w:eastAsia="宋体" w:cstheme="majorEastAsia"/>
          <w:b w:val="0"/>
          <w:bCs w:val="0"/>
          <w:sz w:val="24"/>
          <w:szCs w:val="24"/>
        </w:rPr>
        <w:t>英国汉普郡的甜甜圈经济学实践呈现出区别于阿姆斯特丹等城市的独特路径——它以“行业工具包”而非“城市整体战略”的方式落地。本文基于五篇一手文献，系统梳理汉普郡在公路维护和社区倡导两个层面的甜甜圈实践，分析其涉及的四镜头结构、面临的社会短板与生态压力，并提炼出</w:t>
      </w:r>
      <w:r>
        <w:rPr>
          <w:rFonts w:hint="eastAsia" w:ascii="宋体" w:hAnsi="宋体" w:eastAsia="宋体" w:cstheme="majorEastAsia"/>
          <w:b w:val="0"/>
          <w:bCs w:val="0"/>
          <w:sz w:val="24"/>
          <w:szCs w:val="24"/>
          <w:lang w:val="en-US" w:eastAsia="zh-CN"/>
        </w:rPr>
        <w:t>其甜甜圈实践“行业嵌入”的</w:t>
      </w:r>
      <w:r>
        <w:rPr>
          <w:rFonts w:hint="eastAsia" w:ascii="宋体" w:hAnsi="宋体" w:eastAsia="宋体" w:cstheme="majorEastAsia"/>
          <w:b w:val="0"/>
          <w:bCs w:val="0"/>
          <w:sz w:val="24"/>
          <w:szCs w:val="24"/>
        </w:rPr>
        <w:t>核心特征。汉普郡案例表明，甜甜圈框架可以作为一种精准的行业干预工具渗透进政府日常操作规范，这一路径对中国城市在“双碳”与“共同富裕”政策语境下引入甜甜圈思维具有重要借鉴意义。</w:t>
      </w:r>
    </w:p>
    <w:p w14:paraId="51D2E239">
      <w:pPr>
        <w:spacing w:line="360" w:lineRule="auto"/>
        <w:ind w:firstLine="480" w:firstLineChars="200"/>
        <w:jc w:val="left"/>
        <w:rPr>
          <w:rFonts w:hint="eastAsia" w:ascii="宋体" w:hAnsi="宋体" w:eastAsia="宋体" w:cstheme="majorEastAsia"/>
          <w:b w:val="0"/>
          <w:bCs w:val="0"/>
          <w:sz w:val="24"/>
          <w:szCs w:val="24"/>
        </w:rPr>
      </w:pPr>
    </w:p>
    <w:p w14:paraId="3DF3BDB6">
      <w:pPr>
        <w:spacing w:line="360" w:lineRule="auto"/>
        <w:jc w:val="left"/>
        <w:rPr>
          <w:rFonts w:hint="eastAsia" w:ascii="宋体" w:hAnsi="宋体" w:eastAsia="宋体" w:cstheme="majorEastAsia"/>
          <w:b/>
          <w:bCs/>
          <w:sz w:val="24"/>
          <w:szCs w:val="24"/>
          <w:lang w:val="en-US" w:eastAsia="zh-CN"/>
        </w:rPr>
      </w:pPr>
      <w:r>
        <w:rPr>
          <w:rFonts w:hint="eastAsia" w:ascii="宋体" w:hAnsi="宋体" w:eastAsia="宋体" w:cstheme="majorEastAsia"/>
          <w:b/>
          <w:bCs/>
          <w:sz w:val="24"/>
          <w:szCs w:val="24"/>
          <w:lang w:val="en-US" w:eastAsia="zh-CN"/>
        </w:rPr>
        <w:t>关键词</w:t>
      </w:r>
    </w:p>
    <w:p w14:paraId="5EE4114D">
      <w:pPr>
        <w:spacing w:line="360" w:lineRule="auto"/>
        <w:ind w:firstLine="480" w:firstLineChars="200"/>
        <w:jc w:val="left"/>
        <w:rPr>
          <w:rFonts w:hint="eastAsia" w:ascii="宋体" w:hAnsi="宋体" w:eastAsia="宋体" w:cstheme="majorEastAsia"/>
          <w:b w:val="0"/>
          <w:bCs w:val="0"/>
          <w:sz w:val="24"/>
          <w:szCs w:val="24"/>
          <w:lang w:val="en-US" w:eastAsia="zh-CN"/>
        </w:rPr>
      </w:pPr>
      <w:r>
        <w:rPr>
          <w:rFonts w:hint="eastAsia" w:ascii="宋体" w:hAnsi="宋体" w:eastAsia="宋体" w:cstheme="majorEastAsia"/>
          <w:b w:val="0"/>
          <w:bCs w:val="0"/>
          <w:sz w:val="24"/>
          <w:szCs w:val="24"/>
          <w:lang w:val="en-US" w:eastAsia="zh-CN"/>
        </w:rPr>
        <w:t>甜甜圈经济学；汉普郡；行业工具包；四镜头结构；城市治理</w:t>
      </w:r>
    </w:p>
    <w:p w14:paraId="74707EE4">
      <w:pPr>
        <w:spacing w:line="360" w:lineRule="auto"/>
        <w:jc w:val="left"/>
        <w:rPr>
          <w:rFonts w:hint="default" w:ascii="宋体" w:hAnsi="宋体" w:eastAsia="宋体" w:cstheme="majorEastAsia"/>
          <w:b w:val="0"/>
          <w:bCs w:val="0"/>
          <w:sz w:val="24"/>
          <w:szCs w:val="24"/>
          <w:lang w:val="en-US" w:eastAsia="zh-CN"/>
        </w:rPr>
      </w:pPr>
    </w:p>
    <w:p w14:paraId="43863395">
      <w:pPr>
        <w:spacing w:line="360" w:lineRule="auto"/>
        <w:jc w:val="left"/>
        <w:rPr>
          <w:rFonts w:hint="eastAsia" w:ascii="宋体" w:hAnsi="宋体" w:eastAsia="宋体" w:cstheme="majorEastAsia"/>
          <w:b/>
          <w:bCs/>
          <w:sz w:val="24"/>
          <w:lang w:val="en-US" w:eastAsia="zh-CN"/>
        </w:rPr>
      </w:pPr>
      <w:r>
        <w:rPr>
          <w:rFonts w:hint="eastAsia" w:ascii="宋体" w:hAnsi="宋体" w:eastAsia="宋体" w:cstheme="majorEastAsia"/>
          <w:b/>
          <w:bCs/>
          <w:sz w:val="24"/>
          <w:lang w:val="en-US" w:eastAsia="zh-CN"/>
        </w:rPr>
        <w:t>正文</w:t>
      </w:r>
    </w:p>
    <w:p w14:paraId="7D5AFDAF">
      <w:pPr>
        <w:numPr>
          <w:ilvl w:val="0"/>
          <w:numId w:val="1"/>
        </w:numPr>
        <w:spacing w:line="360" w:lineRule="auto"/>
        <w:rPr>
          <w:rFonts w:hint="eastAsia" w:ascii="宋体" w:hAnsi="宋体" w:eastAsia="宋体" w:cstheme="majorEastAsia"/>
          <w:sz w:val="24"/>
        </w:rPr>
      </w:pPr>
      <w:r>
        <w:rPr>
          <w:rFonts w:hint="eastAsia" w:ascii="宋体" w:hAnsi="宋体" w:eastAsia="宋体" w:cstheme="majorEastAsia"/>
          <w:sz w:val="24"/>
        </w:rPr>
        <w:t>基本信息</w:t>
      </w:r>
    </w:p>
    <w:p w14:paraId="227C0213">
      <w:pPr>
        <w:spacing w:line="360" w:lineRule="auto"/>
        <w:ind w:firstLine="480" w:firstLineChars="200"/>
        <w:rPr>
          <w:rFonts w:hint="default" w:ascii="宋体" w:hAnsi="宋体" w:eastAsia="宋体"/>
          <w:sz w:val="24"/>
          <w:lang w:val="en-US" w:eastAsia="zh-CN"/>
        </w:rPr>
      </w:pPr>
      <w:r>
        <w:rPr>
          <w:rFonts w:hint="eastAsia" w:ascii="宋体" w:hAnsi="宋体" w:eastAsia="宋体"/>
          <w:sz w:val="24"/>
        </w:rPr>
        <w:t>汉普郡（Hampshire），</w:t>
      </w:r>
      <w:r>
        <w:rPr>
          <w:rFonts w:hint="eastAsia" w:ascii="宋体" w:hAnsi="宋体" w:eastAsia="宋体"/>
          <w:sz w:val="24"/>
          <w:lang w:val="en-US" w:eastAsia="zh-CN"/>
        </w:rPr>
        <w:t>位于英国东南部，南邻索伦特海峡，东部与萨里郡以及西萨塞克斯郡相接。其相关的甜甜圈经济实践开始于2023年，</w:t>
      </w:r>
      <w:r>
        <w:rPr>
          <w:rFonts w:hint="eastAsia" w:ascii="宋体" w:hAnsi="宋体" w:eastAsia="宋体"/>
          <w:sz w:val="24"/>
        </w:rPr>
        <w:t>重点实践区域为南安普敦市</w:t>
      </w:r>
      <w:r>
        <w:rPr>
          <w:rFonts w:hint="eastAsia" w:ascii="宋体" w:hAnsi="宋体" w:eastAsia="宋体"/>
          <w:sz w:val="24"/>
          <w:lang w:eastAsia="zh-CN"/>
        </w:rPr>
        <w:t>。</w:t>
      </w:r>
      <w:r>
        <w:rPr>
          <w:rFonts w:hint="eastAsia" w:ascii="宋体" w:hAnsi="宋体" w:eastAsia="宋体"/>
          <w:sz w:val="24"/>
          <w:lang w:val="en-US" w:eastAsia="zh-CN"/>
        </w:rPr>
        <w:t>整体来说，其甜甜圈实践仍处于概念探索与行业试点的早期阶段，并非一项全面的城市发展战略。其甜甜圈政策的推行呈现出典型的“多方合作”格局</w:t>
      </w:r>
      <w:r>
        <w:rPr>
          <w:rFonts w:hint="eastAsia" w:ascii="宋体" w:hAnsi="宋体" w:eastAsia="宋体"/>
          <w:sz w:val="24"/>
        </w:rPr>
        <w:t>。既有政府主导的“自上而下”项目（汉普郡公路部门参与的Wessex Live Labs 2</w:t>
      </w:r>
      <w:r>
        <w:rPr>
          <w:rFonts w:hint="eastAsia" w:ascii="宋体" w:hAnsi="宋体" w:eastAsia="宋体"/>
          <w:sz w:val="24"/>
          <w:lang w:val="en-US" w:eastAsia="zh-CN"/>
        </w:rPr>
        <w:t>项目</w:t>
      </w:r>
      <w:r>
        <w:rPr>
          <w:rFonts w:hint="eastAsia" w:ascii="宋体" w:hAnsi="宋体" w:eastAsia="宋体"/>
          <w:sz w:val="24"/>
        </w:rPr>
        <w:t>），也有社会组织发起的“自下而上”倡议</w:t>
      </w:r>
      <w:r>
        <w:rPr>
          <w:rFonts w:hint="eastAsia" w:ascii="宋体" w:hAnsi="宋体" w:eastAsia="宋体"/>
          <w:sz w:val="24"/>
          <w:lang w:eastAsia="zh-CN"/>
        </w:rPr>
        <w:t>。</w:t>
      </w:r>
      <w:r>
        <w:rPr>
          <w:rFonts w:hint="eastAsia" w:ascii="宋体" w:hAnsi="宋体" w:eastAsia="宋体"/>
          <w:sz w:val="24"/>
        </w:rPr>
        <w:t xml:space="preserve">（南安普敦气候行动网络SoCAN, </w:t>
      </w:r>
      <w:r>
        <w:rPr>
          <w:rFonts w:hint="eastAsia" w:asciiTheme="minorEastAsia" w:hAnsiTheme="minorEastAsia" w:eastAsiaTheme="minorEastAsia" w:cstheme="minorEastAsia"/>
          <w:i w:val="0"/>
          <w:iCs w:val="0"/>
          <w:caps w:val="0"/>
          <w:color w:val="000000"/>
          <w:spacing w:val="0"/>
          <w:sz w:val="22"/>
          <w:szCs w:val="22"/>
          <w:shd w:val="clear" w:fill="FFFFFF"/>
        </w:rPr>
        <w:t>Southampton Climate Action Network</w:t>
      </w:r>
      <w:r>
        <w:rPr>
          <w:rFonts w:hint="eastAsia" w:asciiTheme="minorEastAsia" w:hAnsiTheme="minorEastAsia" w:cstheme="minorEastAsia"/>
          <w:i w:val="0"/>
          <w:iCs w:val="0"/>
          <w:caps w:val="0"/>
          <w:color w:val="000000"/>
          <w:spacing w:val="0"/>
          <w:sz w:val="22"/>
          <w:szCs w:val="22"/>
          <w:shd w:val="clear" w:fill="FFFFFF"/>
          <w:lang w:eastAsia="zh-CN"/>
        </w:rPr>
        <w:t>，</w:t>
      </w:r>
      <w:r>
        <w:rPr>
          <w:rFonts w:hint="eastAsia" w:asciiTheme="minorEastAsia" w:hAnsiTheme="minorEastAsia" w:cstheme="minorEastAsia"/>
          <w:i w:val="0"/>
          <w:iCs w:val="0"/>
          <w:caps w:val="0"/>
          <w:color w:val="000000"/>
          <w:spacing w:val="0"/>
          <w:sz w:val="22"/>
          <w:szCs w:val="22"/>
          <w:shd w:val="clear" w:fill="FFFFFF"/>
          <w:lang w:val="en-US" w:eastAsia="zh-CN"/>
        </w:rPr>
        <w:t>后文以SoCAN简称</w:t>
      </w:r>
      <w:r>
        <w:rPr>
          <w:rFonts w:hint="eastAsia" w:ascii="宋体" w:hAnsi="宋体" w:eastAsia="宋体"/>
          <w:sz w:val="24"/>
        </w:rPr>
        <w:t>）</w:t>
      </w:r>
      <w:r>
        <w:rPr>
          <w:rFonts w:hint="eastAsia" w:ascii="宋体" w:hAnsi="宋体" w:eastAsia="宋体"/>
          <w:sz w:val="24"/>
          <w:lang w:val="en-US" w:eastAsia="zh-CN"/>
        </w:rPr>
        <w:t>[1][2][3].</w:t>
      </w:r>
    </w:p>
    <w:p w14:paraId="45FC5EAB">
      <w:pPr>
        <w:spacing w:line="360" w:lineRule="auto"/>
        <w:rPr>
          <w:rFonts w:hint="eastAsia" w:ascii="宋体" w:hAnsi="宋体" w:eastAsia="宋体"/>
          <w:sz w:val="24"/>
        </w:rPr>
      </w:pPr>
    </w:p>
    <w:p w14:paraId="7A3A81DC">
      <w:pPr>
        <w:spacing w:line="360" w:lineRule="auto"/>
        <w:rPr>
          <w:rFonts w:ascii="宋体" w:hAnsi="宋体" w:eastAsia="宋体"/>
          <w:sz w:val="24"/>
        </w:rPr>
      </w:pPr>
      <w:r>
        <w:rPr>
          <w:rFonts w:hint="eastAsia" w:ascii="宋体" w:hAnsi="宋体" w:eastAsia="宋体"/>
          <w:sz w:val="24"/>
        </w:rPr>
        <w:t>二、“甜甜圈”应用分析</w:t>
      </w:r>
    </w:p>
    <w:p w14:paraId="00374DD2">
      <w:pPr>
        <w:spacing w:line="360" w:lineRule="auto"/>
        <w:ind w:firstLine="480" w:firstLineChars="200"/>
        <w:rPr>
          <w:rFonts w:hint="eastAsia" w:asciiTheme="minorEastAsia" w:hAnsiTheme="minorEastAsia" w:cstheme="minorEastAsia"/>
          <w:b w:val="0"/>
          <w:bCs w:val="0"/>
          <w:sz w:val="24"/>
          <w:szCs w:val="32"/>
          <w:lang w:val="en-US" w:eastAsia="zh-CN"/>
        </w:rPr>
      </w:pPr>
      <w:r>
        <w:rPr>
          <w:rFonts w:hint="eastAsia" w:ascii="宋体" w:hAnsi="宋体" w:eastAsia="宋体"/>
          <w:sz w:val="24"/>
          <w:lang w:val="en-US" w:eastAsia="zh-CN"/>
        </w:rPr>
        <w:t>在汉普郡的甜甜圈实践中呈现出两个层次的工具化运用：</w:t>
      </w:r>
      <w:r>
        <w:rPr>
          <w:rFonts w:hint="eastAsia" w:ascii="宋体" w:hAnsi="宋体" w:eastAsia="宋体"/>
          <w:sz w:val="24"/>
        </w:rPr>
        <w:t>在政府主导的Wessex Live Labs 2项目中明确提及“Highways Doughnut Toolkit”（高速公路甜甜圈工具包），</w:t>
      </w:r>
      <w:r>
        <w:rPr>
          <w:rFonts w:hint="eastAsia"/>
          <w:sz w:val="24"/>
          <w:szCs w:val="32"/>
        </w:rPr>
        <w:t>该工具包将甜甜圈框架转化为公路维护部门的操作规范，涵盖碳预算设定、材料低碳替代标准、车辆排放管理等具体内</w:t>
      </w:r>
      <w:r>
        <w:rPr>
          <w:rFonts w:hint="eastAsia"/>
          <w:sz w:val="24"/>
          <w:szCs w:val="32"/>
          <w:lang w:eastAsia="zh-CN"/>
        </w:rPr>
        <w:t>，</w:t>
      </w:r>
      <w:r>
        <w:rPr>
          <w:rFonts w:hint="eastAsia" w:ascii="宋体" w:hAnsi="宋体" w:eastAsia="宋体"/>
          <w:sz w:val="24"/>
        </w:rPr>
        <w:t>这是将甜甜圈框架转化为公路部门碳预算和材料选择的实操工具。</w:t>
      </w:r>
      <w:r>
        <w:rPr>
          <w:rFonts w:hint="eastAsia" w:ascii="宋体" w:hAnsi="宋体" w:eastAsia="宋体"/>
          <w:sz w:val="24"/>
          <w:lang w:val="en-US" w:eastAsia="zh-CN"/>
        </w:rPr>
        <w:t>[1].</w:t>
      </w:r>
      <w:r>
        <w:rPr>
          <w:rFonts w:hint="eastAsia" w:ascii="宋体" w:hAnsi="宋体" w:eastAsia="宋体"/>
          <w:sz w:val="24"/>
        </w:rPr>
        <w:t>此外，SoCAN社区工作坊直接使用“走进甜甜圈”的体验式活动向公众普及甜甜圈经济学理念</w:t>
      </w:r>
      <w:r>
        <w:rPr>
          <w:rFonts w:hint="eastAsia" w:ascii="宋体" w:hAnsi="宋体" w:eastAsia="宋体"/>
          <w:sz w:val="24"/>
          <w:lang w:eastAsia="zh-CN"/>
        </w:rPr>
        <w:t>，</w:t>
      </w:r>
      <w:r>
        <w:rPr>
          <w:rFonts w:hint="eastAsia"/>
          <w:sz w:val="24"/>
          <w:szCs w:val="32"/>
        </w:rPr>
        <w:t>引导参与者将模型与个人生活、社区和自然世界建立连接。</w:t>
      </w:r>
      <w:r>
        <w:rPr>
          <w:rFonts w:hint="eastAsia" w:asciiTheme="minorEastAsia" w:hAnsiTheme="minorEastAsia" w:eastAsiaTheme="minorEastAsia" w:cstheme="minorEastAsia"/>
          <w:b w:val="0"/>
          <w:bCs w:val="0"/>
          <w:sz w:val="24"/>
          <w:szCs w:val="32"/>
          <w:lang w:val="en-US" w:eastAsia="zh-CN"/>
        </w:rPr>
        <w:t>[2]</w:t>
      </w:r>
      <w:r>
        <w:rPr>
          <w:rFonts w:hint="eastAsia" w:asciiTheme="minorEastAsia" w:hAnsiTheme="minorEastAsia" w:cstheme="minorEastAsia"/>
          <w:b w:val="0"/>
          <w:bCs w:val="0"/>
          <w:sz w:val="24"/>
          <w:szCs w:val="32"/>
          <w:lang w:val="en-US" w:eastAsia="zh-CN"/>
        </w:rPr>
        <w:t>[3].</w:t>
      </w:r>
    </w:p>
    <w:p w14:paraId="6729C017">
      <w:pPr>
        <w:spacing w:line="360" w:lineRule="auto"/>
        <w:ind w:firstLine="480" w:firstLineChars="200"/>
        <w:rPr>
          <w:rFonts w:hint="default" w:asciiTheme="minorEastAsia" w:hAnsiTheme="minorEastAsia" w:eastAsiaTheme="minorEastAsia" w:cstheme="minorEastAsia"/>
          <w:b w:val="0"/>
          <w:bCs w:val="0"/>
          <w:sz w:val="24"/>
          <w:szCs w:val="32"/>
          <w:lang w:val="en-US" w:eastAsia="zh-CN"/>
        </w:rPr>
      </w:pPr>
      <w:r>
        <w:rPr>
          <w:rFonts w:hint="eastAsia" w:asciiTheme="minorEastAsia" w:hAnsiTheme="minorEastAsia" w:cstheme="minorEastAsia"/>
          <w:b w:val="0"/>
          <w:bCs w:val="0"/>
          <w:sz w:val="24"/>
          <w:szCs w:val="32"/>
          <w:lang w:val="en-US" w:eastAsia="zh-CN"/>
        </w:rPr>
        <w:t>汉普郡的实践不同程度的涉及到了甜甜圈经济学四镜头结构中的三项：首先为本地社会，在汉普郡的实践中明显存在对此维度的深度关注，在SoCAN的调查中提到：南安普敦是英国最贫困城市之一，却有数十亿英镑商品流经港口；“锚定机构”采购外流导致本地财富难以留存。并提出了利用甜甜圈理论解决此问题的想法。[2].在本地生态方面，在汉普郡中社会组织的实践中也有比较充分的体现，</w:t>
      </w:r>
      <w:r>
        <w:rPr>
          <w:rFonts w:hint="eastAsia" w:asciiTheme="minorEastAsia" w:hAnsiTheme="minorEastAsia" w:eastAsiaTheme="minorEastAsia" w:cstheme="minorEastAsia"/>
          <w:sz w:val="24"/>
          <w:szCs w:val="28"/>
        </w:rPr>
        <w:t>Hampshire Ornithological Society</w:t>
      </w:r>
      <w:r>
        <w:rPr>
          <w:rFonts w:hint="eastAsia" w:asciiTheme="minorEastAsia" w:hAnsiTheme="minorEastAsia" w:cstheme="minorEastAsia"/>
          <w:sz w:val="22"/>
          <w:szCs w:val="24"/>
          <w:lang w:val="en-US" w:eastAsia="zh-CN"/>
        </w:rPr>
        <w:t>对本地生态进行了相关的调查，并从汉普郡鸟类生态的角度指出“</w:t>
      </w:r>
      <w:r>
        <w:rPr>
          <w:rFonts w:hint="eastAsia" w:asciiTheme="minorEastAsia" w:hAnsiTheme="minorEastAsia" w:cstheme="minorEastAsia"/>
          <w:sz w:val="24"/>
          <w:szCs w:val="28"/>
          <w:lang w:val="en-US" w:eastAsia="zh-CN"/>
        </w:rPr>
        <w:t>小斑啄木鸟在大部分地区“明显减少”，全郡仅存约314个领地；环颈鸻面临“可能失去繁殖种群”的风险，部分栖息地受海平面上升威胁</w:t>
      </w:r>
      <w:r>
        <w:rPr>
          <w:rFonts w:hint="eastAsia" w:asciiTheme="minorEastAsia" w:hAnsiTheme="minorEastAsia" w:cstheme="minorEastAsia"/>
          <w:sz w:val="22"/>
          <w:szCs w:val="24"/>
          <w:lang w:val="en-US" w:eastAsia="zh-CN"/>
        </w:rPr>
        <w:t>”。</w:t>
      </w:r>
      <w:r>
        <w:rPr>
          <w:rFonts w:hint="eastAsia" w:asciiTheme="minorEastAsia" w:hAnsiTheme="minorEastAsia" w:cstheme="minorEastAsia"/>
          <w:sz w:val="24"/>
          <w:szCs w:val="28"/>
          <w:lang w:val="en-US" w:eastAsia="zh-CN"/>
        </w:rPr>
        <w:t>[5].最后为全球生态角度</w:t>
      </w:r>
      <w:r>
        <w:rPr>
          <w:rFonts w:hint="eastAsia" w:asciiTheme="minorEastAsia" w:hAnsiTheme="minorEastAsia" w:cstheme="minorEastAsia"/>
          <w:sz w:val="22"/>
          <w:szCs w:val="24"/>
          <w:lang w:val="en-US" w:eastAsia="zh-CN"/>
        </w:rPr>
        <w:t>，W</w:t>
      </w:r>
      <w:r>
        <w:rPr>
          <w:rFonts w:hint="eastAsia" w:ascii="宋体" w:hAnsi="宋体" w:eastAsia="宋体"/>
          <w:sz w:val="24"/>
        </w:rPr>
        <w:t>essex Live Labs 2</w:t>
      </w:r>
      <w:r>
        <w:rPr>
          <w:rFonts w:hint="eastAsia" w:ascii="宋体" w:hAnsi="宋体" w:eastAsia="宋体"/>
          <w:sz w:val="24"/>
          <w:lang w:val="en-US" w:eastAsia="zh-CN"/>
        </w:rPr>
        <w:t>公路项目通过碳预算工具将运营与碳排放上限挂钩，生物基粘合剂和温拌沥青可实现高达45%碳减排；“精益出行碳审查”专门削减车辆排放，体现了汉普郡甜甜圈实践中对全球生态的关注。[1].根据所查询到的资料，汉普郡的甜甜圈实践并未明确体现涉及到全球社会的角度。</w:t>
      </w:r>
    </w:p>
    <w:p w14:paraId="720DA146">
      <w:pPr>
        <w:spacing w:line="360" w:lineRule="auto"/>
        <w:ind w:firstLine="480" w:firstLineChars="200"/>
        <w:rPr>
          <w:rFonts w:hint="eastAsia" w:ascii="宋体" w:hAnsi="宋体" w:eastAsia="宋体"/>
          <w:sz w:val="24"/>
          <w:lang w:val="en-US" w:eastAsia="zh-CN"/>
        </w:rPr>
      </w:pPr>
      <w:r>
        <w:rPr>
          <w:rFonts w:hint="eastAsia" w:ascii="宋体" w:hAnsi="宋体" w:eastAsia="宋体"/>
          <w:sz w:val="24"/>
        </w:rPr>
        <w:t>汉普郡面临三项突出的社会短板。第一，严重的社会不平等。汉普郡表面上是英格兰“最不贫困”的当局之一，但内部两极分化严重：戈斯波特是全郡最贫困地区，西利男性预期寿命仅75.1岁，与沃特卢维尔东北部的85.8岁相差11年；贫困地区的吸烟率、肥胖率、心理健康问题发生率均显著更高。</w:t>
      </w:r>
      <w:r>
        <w:rPr>
          <w:rFonts w:hint="eastAsia" w:ascii="宋体" w:hAnsi="宋体" w:eastAsia="宋体"/>
          <w:sz w:val="24"/>
          <w:lang w:val="en-US" w:eastAsia="zh-CN"/>
        </w:rPr>
        <w:t>[4].</w:t>
      </w:r>
      <w:r>
        <w:rPr>
          <w:rFonts w:hint="eastAsia" w:ascii="宋体" w:hAnsi="宋体" w:eastAsia="宋体"/>
          <w:sz w:val="24"/>
        </w:rPr>
        <w:t>第二，本地财富流失与“贫困之城”悖论。南安普敦“每年数十亿英镑商品流经”，却是英国最贫困城市之一，核心问题在于大型“锚定机构”（地方政府、大学、医疗服务、大型企业）采购支出未流向本地。</w:t>
      </w:r>
      <w:r>
        <w:rPr>
          <w:rFonts w:hint="eastAsia" w:ascii="宋体" w:hAnsi="宋体" w:eastAsia="宋体"/>
          <w:sz w:val="24"/>
          <w:lang w:val="en-US" w:eastAsia="zh-CN"/>
        </w:rPr>
        <w:t>[2].</w:t>
      </w:r>
      <w:r>
        <w:rPr>
          <w:rFonts w:hint="eastAsia" w:ascii="宋体" w:hAnsi="宋体" w:eastAsia="宋体"/>
          <w:sz w:val="24"/>
        </w:rPr>
        <w:t>第三，贫困导致的疾病负担集中化。冠心病、慢性阻塞性肺病和糖尿病是主要致残原因，五大风险因素在贫困地区更为普遍，70岁以上人群的心血管疾病和癌症在贫困地区更为常见（Forero, 2024）。</w:t>
      </w:r>
      <w:r>
        <w:rPr>
          <w:rFonts w:hint="eastAsia" w:ascii="宋体" w:hAnsi="宋体" w:eastAsia="宋体"/>
          <w:sz w:val="24"/>
          <w:lang w:val="en-US" w:eastAsia="zh-CN"/>
        </w:rPr>
        <w:t>[4].</w:t>
      </w:r>
    </w:p>
    <w:p w14:paraId="6F8315A6">
      <w:pPr>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汉普郡的</w:t>
      </w:r>
      <w:r>
        <w:rPr>
          <w:rFonts w:hint="default" w:ascii="宋体" w:hAnsi="宋体" w:eastAsia="宋体"/>
          <w:sz w:val="24"/>
          <w:lang w:val="en-US" w:eastAsia="zh-CN"/>
        </w:rPr>
        <w:t>生态压力同样突出。第一，物种多样性锐减。Hampshire Ornithological Society</w:t>
      </w:r>
      <w:r>
        <w:rPr>
          <w:rFonts w:hint="eastAsia" w:ascii="宋体" w:hAnsi="宋体" w:eastAsia="宋体"/>
          <w:sz w:val="24"/>
          <w:lang w:val="en-US" w:eastAsia="zh-CN"/>
        </w:rPr>
        <w:t>的调查报告显示：</w:t>
      </w:r>
      <w:r>
        <w:rPr>
          <w:rFonts w:hint="default" w:ascii="宋体" w:hAnsi="宋体" w:eastAsia="宋体"/>
          <w:sz w:val="24"/>
          <w:lang w:val="en-US" w:eastAsia="zh-CN"/>
        </w:rPr>
        <w:t>小斑啄木鸟在197个调查方格中仅在123个被发现，除新森林外的大部分地区“明显减少”；环颈鸻调查结果“令人担忧”，24个调查点中仅14个被占据，缺乏保护措施的区域面临种群丧失风险</w:t>
      </w:r>
      <w:r>
        <w:rPr>
          <w:rFonts w:hint="eastAsia" w:ascii="宋体" w:hAnsi="宋体" w:eastAsia="宋体"/>
          <w:sz w:val="24"/>
          <w:lang w:val="en-US" w:eastAsia="zh-CN"/>
        </w:rPr>
        <w:t>。[5].</w:t>
      </w:r>
      <w:r>
        <w:rPr>
          <w:rFonts w:hint="default" w:ascii="宋体" w:hAnsi="宋体" w:eastAsia="宋体"/>
          <w:sz w:val="24"/>
          <w:lang w:val="en-US" w:eastAsia="zh-CN"/>
        </w:rPr>
        <w:t>第二，公路运营碳排放超出预期。Wessex项目在第二年初期发现“车辆排放在项目总碳排放中占比远超预期”，直接催生了“精益出行碳审查”机制。</w:t>
      </w:r>
      <w:r>
        <w:rPr>
          <w:rFonts w:hint="eastAsia" w:ascii="宋体" w:hAnsi="宋体" w:eastAsia="宋体"/>
          <w:sz w:val="24"/>
          <w:lang w:val="en-US" w:eastAsia="zh-CN"/>
        </w:rPr>
        <w:t>[1].</w:t>
      </w:r>
      <w:r>
        <w:rPr>
          <w:rFonts w:hint="default" w:ascii="宋体" w:hAnsi="宋体" w:eastAsia="宋体"/>
          <w:sz w:val="24"/>
          <w:lang w:val="en-US" w:eastAsia="zh-CN"/>
        </w:rPr>
        <w:t>第三，气候变化引发的栖息地丧失风险。部分环颈鸻繁殖栖息地“容易受到海平面上升的影响”，在缺乏干预措施的情况下“可能在不久的将来失去繁殖地”。</w:t>
      </w:r>
      <w:r>
        <w:rPr>
          <w:rFonts w:hint="eastAsia" w:ascii="宋体" w:hAnsi="宋体" w:eastAsia="宋体"/>
          <w:sz w:val="24"/>
          <w:lang w:val="en-US" w:eastAsia="zh-CN"/>
        </w:rPr>
        <w:t>[5].</w:t>
      </w:r>
    </w:p>
    <w:p w14:paraId="688B21AA">
      <w:pPr>
        <w:spacing w:line="360" w:lineRule="auto"/>
        <w:rPr>
          <w:rFonts w:hint="default" w:ascii="宋体" w:hAnsi="宋体" w:eastAsia="宋体"/>
          <w:sz w:val="24"/>
          <w:lang w:val="en-US" w:eastAsia="zh-CN"/>
        </w:rPr>
      </w:pPr>
      <w:r>
        <w:rPr>
          <w:rFonts w:hint="eastAsia" w:ascii="宋体" w:hAnsi="宋体" w:eastAsia="宋体"/>
          <w:sz w:val="24"/>
          <w:lang w:val="en-US" w:eastAsia="zh-CN"/>
        </w:rPr>
        <w:t xml:space="preserve">    同时，在所收集与查阅的资料中，并未发现汉普郡存在将社会或生态成本转嫁到其他地区的现象。（即“本地改善—外部转移”问题）</w:t>
      </w:r>
    </w:p>
    <w:p w14:paraId="736138DF">
      <w:pPr>
        <w:spacing w:line="360" w:lineRule="auto"/>
        <w:ind w:firstLine="480" w:firstLineChars="200"/>
        <w:rPr>
          <w:rFonts w:ascii="宋体" w:hAnsi="宋体" w:eastAsia="宋体"/>
          <w:sz w:val="24"/>
        </w:rPr>
      </w:pPr>
      <w:r>
        <w:rPr>
          <w:rFonts w:hint="eastAsia" w:ascii="宋体" w:hAnsi="宋体" w:eastAsia="宋体"/>
          <w:sz w:val="24"/>
        </w:rPr>
        <w:t>汉普郡</w:t>
      </w:r>
      <w:r>
        <w:rPr>
          <w:rFonts w:hint="eastAsia" w:ascii="宋体" w:hAnsi="宋体" w:eastAsia="宋体"/>
          <w:sz w:val="24"/>
          <w:lang w:val="en-US" w:eastAsia="zh-CN"/>
        </w:rPr>
        <w:t>甜甜圈实践的</w:t>
      </w:r>
      <w:r>
        <w:rPr>
          <w:rFonts w:hint="eastAsia" w:ascii="宋体" w:hAnsi="宋体" w:eastAsia="宋体"/>
          <w:sz w:val="24"/>
        </w:rPr>
        <w:t>独特之处在于将甜甜圈经济学作为一个精准的“行业干预工具”而非城市整体蓝图来使用。它没有出台全市层面的甜甜圈战略，而是选择在公路维护这一具体行业嵌入甜甜圈原则——通过“高速公路甜甜圈工具包”和碳预算，把抽象的生态天花板转化为公路部门的材料选择标准和车辆管理规范。这种“行业切入、工具落地”的路径，与阿姆斯特丹等城市的宏观战略形成鲜明对比</w:t>
      </w:r>
      <w:r>
        <w:rPr>
          <w:rFonts w:hint="eastAsia" w:ascii="宋体" w:hAnsi="宋体" w:eastAsia="宋体"/>
          <w:sz w:val="24"/>
          <w:lang w:eastAsia="zh-CN"/>
        </w:rPr>
        <w:t>，</w:t>
      </w:r>
      <w:r>
        <w:rPr>
          <w:rFonts w:hint="eastAsia" w:ascii="宋体" w:hAnsi="宋体" w:eastAsia="宋体"/>
          <w:sz w:val="24"/>
          <w:lang w:val="en-US" w:eastAsia="zh-CN"/>
        </w:rPr>
        <w:t>使甜甜圈经济学避开了“宏大战略难以实行”的困境</w:t>
      </w:r>
      <w:r>
        <w:rPr>
          <w:rFonts w:hint="eastAsia" w:ascii="宋体" w:hAnsi="宋体" w:eastAsia="宋体"/>
          <w:sz w:val="24"/>
        </w:rPr>
        <w:t>。</w:t>
      </w:r>
    </w:p>
    <w:p w14:paraId="09C2ED9B">
      <w:pPr>
        <w:spacing w:line="360" w:lineRule="auto"/>
        <w:rPr>
          <w:rFonts w:ascii="宋体" w:hAnsi="宋体" w:eastAsia="宋体"/>
          <w:sz w:val="24"/>
        </w:rPr>
      </w:pPr>
    </w:p>
    <w:p w14:paraId="6E7FED45">
      <w:pPr>
        <w:spacing w:line="360" w:lineRule="auto"/>
        <w:rPr>
          <w:rFonts w:ascii="宋体" w:hAnsi="宋体" w:eastAsia="宋体"/>
          <w:sz w:val="24"/>
        </w:rPr>
      </w:pPr>
      <w:r>
        <w:rPr>
          <w:rFonts w:hint="eastAsia" w:ascii="宋体" w:hAnsi="宋体" w:eastAsia="宋体"/>
          <w:sz w:val="24"/>
        </w:rPr>
        <w:t>三、对中国的启示</w:t>
      </w:r>
    </w:p>
    <w:p w14:paraId="21DEFEFE">
      <w:pPr>
        <w:spacing w:line="360" w:lineRule="auto"/>
        <w:ind w:firstLine="480" w:firstLineChars="200"/>
        <w:rPr>
          <w:rFonts w:ascii="宋体" w:hAnsi="宋体" w:eastAsia="宋体"/>
          <w:sz w:val="24"/>
        </w:rPr>
      </w:pPr>
      <w:r>
        <w:rPr>
          <w:rFonts w:hint="eastAsia" w:ascii="宋体" w:hAnsi="宋体" w:eastAsia="宋体"/>
          <w:sz w:val="24"/>
          <w:lang w:val="en-US" w:eastAsia="zh-CN"/>
        </w:rPr>
        <w:t>汉普郡的案例对于中国城市的甜甜圈建设最值得借鉴的有两点：第一，</w:t>
      </w:r>
      <w:r>
        <w:rPr>
          <w:rFonts w:hint="eastAsia" w:ascii="宋体" w:hAnsi="宋体" w:eastAsia="宋体"/>
          <w:sz w:val="24"/>
        </w:rPr>
        <w:t>“行业工具包”式落地路径：中国城市可将甜甜圈框架拆解为具体行业的操作规范（如交通、建筑、采购），用碳预算、材料清单等可量化工具推动执行，避开“宏大战略难以落地”的困境。</w:t>
      </w:r>
      <w:r>
        <w:rPr>
          <w:rFonts w:hint="eastAsia" w:ascii="宋体" w:hAnsi="宋体" w:eastAsia="宋体"/>
          <w:sz w:val="24"/>
          <w:lang w:val="en-US" w:eastAsia="zh-CN"/>
        </w:rPr>
        <w:t>第二，</w:t>
      </w:r>
      <w:r>
        <w:rPr>
          <w:rFonts w:hint="eastAsia" w:ascii="宋体" w:hAnsi="宋体" w:eastAsia="宋体"/>
          <w:sz w:val="24"/>
        </w:rPr>
        <w:t>社区生态意识建设与锚定机构策略：南安普敦借助“锚定机构”（大学、医院、政府）对地区居民进行生态知识普及以及项目推行的思路，可直接应用于中国城市。</w:t>
      </w:r>
    </w:p>
    <w:p w14:paraId="05031E99">
      <w:pPr>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而在引入中国的甜甜圈实践思路时时，建议做出以下的本土化调整：一是</w:t>
      </w:r>
      <w:r>
        <w:rPr>
          <w:rFonts w:hint="eastAsia" w:ascii="宋体" w:hAnsi="宋体" w:eastAsia="宋体"/>
          <w:sz w:val="24"/>
        </w:rPr>
        <w:t>将“生态天花板”与“双碳”目标对接，将“社会基础”与“共同富裕”框架融合，无需另起炉灶</w:t>
      </w:r>
      <w:r>
        <w:rPr>
          <w:rFonts w:hint="eastAsia" w:ascii="宋体" w:hAnsi="宋体" w:eastAsia="宋体"/>
          <w:sz w:val="24"/>
          <w:lang w:eastAsia="zh-CN"/>
        </w:rPr>
        <w:t>；</w:t>
      </w:r>
      <w:r>
        <w:rPr>
          <w:rFonts w:hint="eastAsia" w:ascii="宋体" w:hAnsi="宋体" w:eastAsia="宋体"/>
          <w:sz w:val="24"/>
          <w:lang w:val="en-US" w:eastAsia="zh-CN"/>
        </w:rPr>
        <w:t>二是</w:t>
      </w:r>
      <w:r>
        <w:rPr>
          <w:rFonts w:hint="eastAsia" w:ascii="宋体" w:hAnsi="宋体" w:eastAsia="宋体"/>
          <w:sz w:val="24"/>
        </w:rPr>
        <w:t>强化政府主导角色：中国城市可将SoCAN这类自下而上的倡议，升级为政府统筹、多方参与的制度化机制，以行政力量推动甜甜圈工具包在公共采购和基建项目中的</w:t>
      </w:r>
      <w:r>
        <w:rPr>
          <w:rFonts w:hint="eastAsia" w:ascii="宋体" w:hAnsi="宋体" w:eastAsia="宋体"/>
          <w:sz w:val="24"/>
          <w:lang w:val="en-US" w:eastAsia="zh-CN"/>
        </w:rPr>
        <w:t>规范使用</w:t>
      </w:r>
      <w:r>
        <w:rPr>
          <w:rFonts w:hint="eastAsia" w:ascii="宋体" w:hAnsi="宋体" w:eastAsia="宋体"/>
          <w:sz w:val="24"/>
        </w:rPr>
        <w:t>使用</w:t>
      </w:r>
      <w:r>
        <w:rPr>
          <w:rFonts w:hint="eastAsia" w:ascii="宋体" w:hAnsi="宋体" w:eastAsia="宋体"/>
          <w:sz w:val="24"/>
          <w:lang w:eastAsia="zh-CN"/>
        </w:rPr>
        <w:t>；</w:t>
      </w:r>
      <w:r>
        <w:rPr>
          <w:rFonts w:hint="eastAsia" w:ascii="宋体" w:hAnsi="宋体" w:eastAsia="宋体"/>
          <w:sz w:val="24"/>
          <w:lang w:val="en-US" w:eastAsia="zh-CN"/>
        </w:rPr>
        <w:t>三是可以考虑到中国城市的行政层级与部门分工，可以先在交通等垂直领域试点“甜甜圈部门工具包”，而非一蹴而就，直接开始追求全市层面的完整战略。</w:t>
      </w:r>
    </w:p>
    <w:p w14:paraId="4A51D21D">
      <w:pPr>
        <w:spacing w:line="360" w:lineRule="auto"/>
        <w:rPr>
          <w:rFonts w:ascii="宋体" w:hAnsi="宋体" w:eastAsia="宋体"/>
          <w:sz w:val="24"/>
        </w:rPr>
      </w:pPr>
    </w:p>
    <w:p w14:paraId="6EFFB5AE">
      <w:pPr>
        <w:spacing w:line="360" w:lineRule="auto"/>
        <w:rPr>
          <w:rFonts w:hint="eastAsia" w:ascii="宋体" w:hAnsi="宋体" w:eastAsia="宋体"/>
          <w:b/>
          <w:bCs/>
          <w:sz w:val="24"/>
          <w:lang w:eastAsia="zh-CN"/>
        </w:rPr>
      </w:pPr>
      <w:r>
        <w:rPr>
          <w:rFonts w:hint="eastAsia" w:ascii="宋体" w:hAnsi="宋体" w:eastAsia="宋体"/>
          <w:b/>
          <w:bCs/>
          <w:sz w:val="24"/>
        </w:rPr>
        <w:t>参考文献</w:t>
      </w:r>
    </w:p>
    <w:p w14:paraId="78D2DAD4">
      <w:pPr>
        <w:numPr>
          <w:ilvl w:val="0"/>
          <w:numId w:val="2"/>
        </w:numPr>
        <w:spacing w:line="360" w:lineRule="auto"/>
        <w:rPr>
          <w:rFonts w:hint="default" w:ascii="宋体" w:hAnsi="宋体" w:eastAsia="宋体"/>
          <w:sz w:val="24"/>
          <w:lang w:val="en-US" w:eastAsia="zh-CN"/>
        </w:rPr>
      </w:pPr>
      <w:r>
        <w:rPr>
          <w:rFonts w:hint="default" w:ascii="宋体" w:hAnsi="宋体" w:eastAsia="宋体"/>
          <w:sz w:val="24"/>
          <w:lang w:val="en-US" w:eastAsia="zh-CN"/>
        </w:rPr>
        <w:t>ADEPT Live Labs 2 Blog. (2025, September 12). Live Labs 2 blog -</w:t>
      </w:r>
      <w:r>
        <w:rPr>
          <w:rFonts w:hint="eastAsia" w:ascii="宋体" w:hAnsi="宋体" w:eastAsia="宋体"/>
          <w:sz w:val="24"/>
          <w:lang w:val="en-US" w:eastAsia="zh-CN"/>
        </w:rPr>
        <w:t>an update from the Wessex project.</w:t>
      </w:r>
    </w:p>
    <w:p w14:paraId="01117C50">
      <w:pPr>
        <w:numPr>
          <w:numId w:val="0"/>
        </w:numPr>
        <w:spacing w:line="360" w:lineRule="auto"/>
        <w:rPr>
          <w:rFonts w:hint="default" w:ascii="宋体" w:hAnsi="宋体" w:eastAsia="宋体"/>
          <w:sz w:val="24"/>
          <w:lang w:val="en-US" w:eastAsia="zh-CN"/>
        </w:rPr>
      </w:pPr>
      <w:r>
        <w:rPr>
          <w:rFonts w:hint="default" w:ascii="宋体" w:hAnsi="宋体" w:eastAsia="宋体"/>
          <w:sz w:val="24"/>
          <w:lang w:val="en-US" w:eastAsia="zh-CN"/>
        </w:rPr>
        <w:fldChar w:fldCharType="begin"/>
      </w:r>
      <w:r>
        <w:rPr>
          <w:rFonts w:hint="default" w:ascii="宋体" w:hAnsi="宋体" w:eastAsia="宋体"/>
          <w:sz w:val="24"/>
          <w:lang w:val="en-US" w:eastAsia="zh-CN"/>
        </w:rPr>
        <w:instrText xml:space="preserve"> HYPERLINK "https://adeptnet.org.uk/news/live-labs-2-blog-update-wessex-project-0" </w:instrText>
      </w:r>
      <w:r>
        <w:rPr>
          <w:rFonts w:hint="default" w:ascii="宋体" w:hAnsi="宋体" w:eastAsia="宋体"/>
          <w:sz w:val="24"/>
          <w:lang w:val="en-US" w:eastAsia="zh-CN"/>
        </w:rPr>
        <w:fldChar w:fldCharType="separate"/>
      </w:r>
      <w:r>
        <w:rPr>
          <w:rStyle w:val="6"/>
          <w:rFonts w:hint="default" w:ascii="宋体" w:hAnsi="宋体" w:eastAsia="宋体"/>
          <w:sz w:val="24"/>
          <w:lang w:val="en-US" w:eastAsia="zh-CN"/>
        </w:rPr>
        <w:t>https://adeptnet.org.uk/news/live-labs-2-blog-update-wessex-project-0</w:t>
      </w:r>
      <w:r>
        <w:rPr>
          <w:rFonts w:hint="default" w:ascii="宋体" w:hAnsi="宋体" w:eastAsia="宋体"/>
          <w:sz w:val="24"/>
          <w:lang w:val="en-US" w:eastAsia="zh-CN"/>
        </w:rPr>
        <w:fldChar w:fldCharType="end"/>
      </w:r>
    </w:p>
    <w:p w14:paraId="3AC088B7">
      <w:pPr>
        <w:numPr>
          <w:numId w:val="0"/>
        </w:numPr>
        <w:spacing w:line="360" w:lineRule="auto"/>
        <w:rPr>
          <w:rFonts w:hint="default" w:ascii="宋体" w:hAnsi="宋体" w:eastAsia="宋体"/>
          <w:sz w:val="24"/>
          <w:lang w:val="en-US" w:eastAsia="zh-CN"/>
        </w:rPr>
      </w:pPr>
    </w:p>
    <w:p w14:paraId="1522179B">
      <w:pPr>
        <w:numPr>
          <w:ilvl w:val="0"/>
          <w:numId w:val="2"/>
        </w:numPr>
        <w:spacing w:line="360" w:lineRule="auto"/>
        <w:ind w:left="0" w:leftChars="0" w:firstLine="0" w:firstLineChars="0"/>
        <w:rPr>
          <w:rFonts w:hint="default" w:ascii="宋体" w:hAnsi="宋体" w:eastAsia="宋体"/>
          <w:sz w:val="24"/>
          <w:lang w:val="en-US" w:eastAsia="zh-CN"/>
        </w:rPr>
      </w:pPr>
      <w:r>
        <w:rPr>
          <w:rFonts w:hint="default" w:ascii="宋体" w:hAnsi="宋体" w:eastAsia="宋体"/>
          <w:sz w:val="24"/>
          <w:lang w:val="en-US" w:eastAsia="zh-CN"/>
        </w:rPr>
        <w:t>Southampton Climate Action Network. (2024, March 1). Imagine Southampton - a thriving and flourishing city: The potential of Doughnut Economics and Community Wealth Building.</w:t>
      </w:r>
    </w:p>
    <w:p w14:paraId="2618A619">
      <w:pPr>
        <w:numPr>
          <w:numId w:val="0"/>
        </w:numPr>
        <w:spacing w:line="360" w:lineRule="auto"/>
        <w:ind w:leftChars="0"/>
        <w:rPr>
          <w:rFonts w:hint="default" w:ascii="宋体" w:hAnsi="宋体" w:eastAsia="宋体"/>
          <w:sz w:val="24"/>
          <w:lang w:val="en-US" w:eastAsia="zh-CN"/>
        </w:rPr>
      </w:pPr>
      <w:r>
        <w:rPr>
          <w:rFonts w:hint="default" w:ascii="宋体" w:hAnsi="宋体" w:eastAsia="宋体"/>
          <w:sz w:val="24"/>
          <w:lang w:val="en-US" w:eastAsia="zh-CN"/>
        </w:rPr>
        <w:fldChar w:fldCharType="begin"/>
      </w:r>
      <w:r>
        <w:rPr>
          <w:rFonts w:hint="default" w:ascii="宋体" w:hAnsi="宋体" w:eastAsia="宋体"/>
          <w:sz w:val="24"/>
          <w:lang w:val="en-US" w:eastAsia="zh-CN"/>
        </w:rPr>
        <w:instrText xml:space="preserve"> HYPERLINK "https://www.sotoncan.org.uk/doughnut-economics-workshop-bl/" </w:instrText>
      </w:r>
      <w:r>
        <w:rPr>
          <w:rFonts w:hint="default" w:ascii="宋体" w:hAnsi="宋体" w:eastAsia="宋体"/>
          <w:sz w:val="24"/>
          <w:lang w:val="en-US" w:eastAsia="zh-CN"/>
        </w:rPr>
        <w:fldChar w:fldCharType="separate"/>
      </w:r>
      <w:r>
        <w:rPr>
          <w:rStyle w:val="6"/>
          <w:rFonts w:hint="default" w:ascii="宋体" w:hAnsi="宋体" w:eastAsia="宋体"/>
          <w:sz w:val="24"/>
          <w:lang w:val="en-US" w:eastAsia="zh-CN"/>
        </w:rPr>
        <w:t>https://www.sotoncan.org.uk/doughnut-economics-workshop-bl/</w:t>
      </w:r>
      <w:r>
        <w:rPr>
          <w:rFonts w:hint="default" w:ascii="宋体" w:hAnsi="宋体" w:eastAsia="宋体"/>
          <w:sz w:val="24"/>
          <w:lang w:val="en-US" w:eastAsia="zh-CN"/>
        </w:rPr>
        <w:fldChar w:fldCharType="end"/>
      </w:r>
    </w:p>
    <w:p w14:paraId="28FBD184">
      <w:pPr>
        <w:numPr>
          <w:numId w:val="0"/>
        </w:numPr>
        <w:spacing w:line="360" w:lineRule="auto"/>
        <w:ind w:leftChars="0"/>
        <w:rPr>
          <w:rFonts w:hint="default" w:ascii="宋体" w:hAnsi="宋体" w:eastAsia="宋体"/>
          <w:sz w:val="24"/>
          <w:lang w:val="en-US" w:eastAsia="zh-CN"/>
        </w:rPr>
      </w:pPr>
    </w:p>
    <w:p w14:paraId="09AA3B2D">
      <w:pPr>
        <w:numPr>
          <w:ilvl w:val="0"/>
          <w:numId w:val="2"/>
        </w:numPr>
        <w:spacing w:line="360" w:lineRule="auto"/>
        <w:ind w:left="0" w:leftChars="0" w:firstLine="0" w:firstLineChars="0"/>
        <w:rPr>
          <w:rFonts w:hint="default" w:ascii="宋体" w:hAnsi="宋体" w:eastAsia="宋体"/>
          <w:sz w:val="24"/>
          <w:lang w:val="en-US" w:eastAsia="zh-CN"/>
        </w:rPr>
      </w:pPr>
      <w:r>
        <w:rPr>
          <w:rFonts w:hint="default" w:ascii="宋体" w:hAnsi="宋体" w:eastAsia="宋体"/>
          <w:sz w:val="24"/>
          <w:lang w:val="en-US" w:eastAsia="zh-CN"/>
        </w:rPr>
        <w:t>Southampton Climate Action Network. (2023, July 8). Can Doughnut Economics future-proof Southampton?</w:t>
      </w:r>
    </w:p>
    <w:p w14:paraId="1E4B46A2">
      <w:pPr>
        <w:numPr>
          <w:numId w:val="0"/>
        </w:numPr>
        <w:spacing w:line="360" w:lineRule="auto"/>
        <w:ind w:leftChars="0"/>
        <w:rPr>
          <w:rFonts w:hint="default" w:ascii="宋体" w:hAnsi="宋体" w:eastAsia="宋体"/>
          <w:sz w:val="24"/>
          <w:lang w:val="en-US" w:eastAsia="zh-CN"/>
        </w:rPr>
      </w:pPr>
      <w:r>
        <w:rPr>
          <w:rFonts w:hint="default" w:ascii="宋体" w:hAnsi="宋体" w:eastAsia="宋体"/>
          <w:sz w:val="24"/>
          <w:lang w:val="en-US" w:eastAsia="zh-CN"/>
        </w:rPr>
        <w:fldChar w:fldCharType="begin"/>
      </w:r>
      <w:r>
        <w:rPr>
          <w:rFonts w:hint="default" w:ascii="宋体" w:hAnsi="宋体" w:eastAsia="宋体"/>
          <w:sz w:val="24"/>
          <w:lang w:val="en-US" w:eastAsia="zh-CN"/>
        </w:rPr>
        <w:instrText xml:space="preserve"> HYPERLINK "https://www.sotoncan.org.uk/doughnut-economics-workshop-bl/" </w:instrText>
      </w:r>
      <w:r>
        <w:rPr>
          <w:rFonts w:hint="default" w:ascii="宋体" w:hAnsi="宋体" w:eastAsia="宋体"/>
          <w:sz w:val="24"/>
          <w:lang w:val="en-US" w:eastAsia="zh-CN"/>
        </w:rPr>
        <w:fldChar w:fldCharType="separate"/>
      </w:r>
      <w:r>
        <w:rPr>
          <w:rStyle w:val="6"/>
          <w:rFonts w:hint="default" w:ascii="宋体" w:hAnsi="宋体" w:eastAsia="宋体"/>
          <w:sz w:val="24"/>
          <w:lang w:val="en-US" w:eastAsia="zh-CN"/>
        </w:rPr>
        <w:t>https://www.sotoncan.org.uk/doughnut-economics-workshop-bl/</w:t>
      </w:r>
      <w:r>
        <w:rPr>
          <w:rFonts w:hint="default" w:ascii="宋体" w:hAnsi="宋体" w:eastAsia="宋体"/>
          <w:sz w:val="24"/>
          <w:lang w:val="en-US" w:eastAsia="zh-CN"/>
        </w:rPr>
        <w:fldChar w:fldCharType="end"/>
      </w:r>
    </w:p>
    <w:p w14:paraId="450CDC3E">
      <w:pPr>
        <w:numPr>
          <w:numId w:val="0"/>
        </w:numPr>
        <w:spacing w:line="360" w:lineRule="auto"/>
        <w:ind w:leftChars="0"/>
        <w:rPr>
          <w:rFonts w:hint="default" w:ascii="宋体" w:hAnsi="宋体" w:eastAsia="宋体"/>
          <w:sz w:val="24"/>
          <w:lang w:val="en-US" w:eastAsia="zh-CN"/>
        </w:rPr>
      </w:pPr>
    </w:p>
    <w:p w14:paraId="138731F9">
      <w:pPr>
        <w:numPr>
          <w:ilvl w:val="0"/>
          <w:numId w:val="2"/>
        </w:numPr>
        <w:spacing w:line="360" w:lineRule="auto"/>
        <w:ind w:left="0" w:leftChars="0" w:firstLine="0" w:firstLineChars="0"/>
        <w:rPr>
          <w:rFonts w:hint="default" w:ascii="宋体" w:hAnsi="宋体" w:eastAsia="宋体"/>
          <w:sz w:val="24"/>
          <w:lang w:val="en-US" w:eastAsia="zh-CN"/>
        </w:rPr>
      </w:pPr>
      <w:r>
        <w:rPr>
          <w:rFonts w:hint="default" w:ascii="宋体" w:hAnsi="宋体" w:eastAsia="宋体"/>
          <w:sz w:val="24"/>
          <w:lang w:val="en-US" w:eastAsia="zh-CN"/>
        </w:rPr>
        <w:t>Forero, N. (2024, October 15). Gosport most deprived in Hampshire: Life expectancy gap revealed. The News (Portsmouth).</w:t>
      </w:r>
    </w:p>
    <w:p w14:paraId="08D0D4D7">
      <w:pPr>
        <w:numPr>
          <w:numId w:val="0"/>
        </w:numPr>
        <w:spacing w:line="360" w:lineRule="auto"/>
        <w:ind w:leftChars="0"/>
        <w:rPr>
          <w:rFonts w:hint="default" w:ascii="宋体" w:hAnsi="宋体" w:eastAsia="宋体"/>
          <w:sz w:val="24"/>
          <w:lang w:val="en-US" w:eastAsia="zh-CN"/>
        </w:rPr>
      </w:pPr>
      <w:r>
        <w:rPr>
          <w:rFonts w:hint="default" w:ascii="宋体" w:hAnsi="宋体" w:eastAsia="宋体"/>
          <w:sz w:val="24"/>
          <w:lang w:val="en-US" w:eastAsia="zh-CN"/>
        </w:rPr>
        <w:fldChar w:fldCharType="begin"/>
      </w:r>
      <w:r>
        <w:rPr>
          <w:rFonts w:hint="default" w:ascii="宋体" w:hAnsi="宋体" w:eastAsia="宋体"/>
          <w:sz w:val="24"/>
          <w:lang w:val="en-US" w:eastAsia="zh-CN"/>
        </w:rPr>
        <w:instrText xml:space="preserve"> HYPERLINK "https://www.portsmouth.co.uk/news/politics/gosport-most-deprived-hampshire-4825489" </w:instrText>
      </w:r>
      <w:r>
        <w:rPr>
          <w:rFonts w:hint="default" w:ascii="宋体" w:hAnsi="宋体" w:eastAsia="宋体"/>
          <w:sz w:val="24"/>
          <w:lang w:val="en-US" w:eastAsia="zh-CN"/>
        </w:rPr>
        <w:fldChar w:fldCharType="separate"/>
      </w:r>
      <w:r>
        <w:rPr>
          <w:rStyle w:val="6"/>
          <w:rFonts w:hint="default" w:ascii="宋体" w:hAnsi="宋体" w:eastAsia="宋体"/>
          <w:sz w:val="24"/>
          <w:lang w:val="en-US" w:eastAsia="zh-CN"/>
        </w:rPr>
        <w:t>https://www.portsmouth.co.uk/news/politics/gosport-most-deprived-hampshire-4825489</w:t>
      </w:r>
      <w:r>
        <w:rPr>
          <w:rFonts w:hint="default" w:ascii="宋体" w:hAnsi="宋体" w:eastAsia="宋体"/>
          <w:sz w:val="24"/>
          <w:lang w:val="en-US" w:eastAsia="zh-CN"/>
        </w:rPr>
        <w:fldChar w:fldCharType="end"/>
      </w:r>
    </w:p>
    <w:p w14:paraId="7E08884D">
      <w:pPr>
        <w:numPr>
          <w:numId w:val="0"/>
        </w:numPr>
        <w:spacing w:line="360" w:lineRule="auto"/>
        <w:ind w:leftChars="0"/>
        <w:rPr>
          <w:rFonts w:hint="default" w:ascii="宋体" w:hAnsi="宋体" w:eastAsia="宋体"/>
          <w:sz w:val="24"/>
          <w:lang w:val="en-US" w:eastAsia="zh-CN"/>
        </w:rPr>
      </w:pPr>
    </w:p>
    <w:p w14:paraId="530964BE">
      <w:pPr>
        <w:numPr>
          <w:ilvl w:val="0"/>
          <w:numId w:val="2"/>
        </w:numPr>
        <w:spacing w:line="360" w:lineRule="auto"/>
        <w:ind w:left="0" w:leftChars="0" w:firstLine="0" w:firstLineChars="0"/>
        <w:rPr>
          <w:rFonts w:hint="default" w:ascii="宋体" w:hAnsi="宋体" w:eastAsia="宋体"/>
          <w:sz w:val="24"/>
          <w:lang w:val="en-US" w:eastAsia="zh-CN"/>
        </w:rPr>
      </w:pPr>
      <w:r>
        <w:rPr>
          <w:rFonts w:hint="default" w:ascii="宋体" w:hAnsi="宋体" w:eastAsia="宋体"/>
          <w:sz w:val="24"/>
          <w:lang w:val="en-US" w:eastAsia="zh-CN"/>
        </w:rPr>
        <w:t>Hampshire Ornithological Society. (2022). Ringed Plover 2022 &amp; Hampshire Lesser Spotted Woodpecker Survey 2022.</w:t>
      </w:r>
    </w:p>
    <w:p w14:paraId="570F2979">
      <w:pPr>
        <w:numPr>
          <w:numId w:val="0"/>
        </w:numPr>
        <w:spacing w:line="360" w:lineRule="auto"/>
        <w:ind w:leftChars="0"/>
        <w:rPr>
          <w:rFonts w:hint="default" w:ascii="宋体" w:hAnsi="宋体" w:eastAsia="宋体"/>
          <w:sz w:val="24"/>
          <w:lang w:val="en-US" w:eastAsia="zh-CN"/>
        </w:rPr>
      </w:pPr>
      <w:r>
        <w:rPr>
          <w:rFonts w:hint="default" w:ascii="宋体" w:hAnsi="宋体" w:eastAsia="宋体"/>
          <w:sz w:val="24"/>
          <w:lang w:val="en-US" w:eastAsia="zh-CN"/>
        </w:rPr>
        <w:fldChar w:fldCharType="begin"/>
      </w:r>
      <w:r>
        <w:rPr>
          <w:rFonts w:hint="default" w:ascii="宋体" w:hAnsi="宋体" w:eastAsia="宋体"/>
          <w:sz w:val="24"/>
          <w:lang w:val="en-US" w:eastAsia="zh-CN"/>
        </w:rPr>
        <w:instrText xml:space="preserve"> HYPERLINK "https://www.hos.org.uk/" </w:instrText>
      </w:r>
      <w:r>
        <w:rPr>
          <w:rFonts w:hint="default" w:ascii="宋体" w:hAnsi="宋体" w:eastAsia="宋体"/>
          <w:sz w:val="24"/>
          <w:lang w:val="en-US" w:eastAsia="zh-CN"/>
        </w:rPr>
        <w:fldChar w:fldCharType="separate"/>
      </w:r>
      <w:r>
        <w:rPr>
          <w:rStyle w:val="6"/>
          <w:rFonts w:hint="default" w:ascii="宋体" w:hAnsi="宋体" w:eastAsia="宋体"/>
          <w:sz w:val="24"/>
          <w:lang w:val="en-US" w:eastAsia="zh-CN"/>
        </w:rPr>
        <w:t>https://www.hos.org.uk/</w:t>
      </w:r>
      <w:r>
        <w:rPr>
          <w:rFonts w:hint="default" w:ascii="宋体" w:hAnsi="宋体" w:eastAsia="宋体"/>
          <w:sz w:val="24"/>
          <w:lang w:val="en-US" w:eastAsia="zh-CN"/>
        </w:rPr>
        <w:fldChar w:fldCharType="end"/>
      </w:r>
    </w:p>
    <w:p w14:paraId="3435DC7E">
      <w:pPr>
        <w:numPr>
          <w:numId w:val="0"/>
        </w:numPr>
        <w:spacing w:line="360" w:lineRule="auto"/>
        <w:ind w:leftChars="0"/>
        <w:rPr>
          <w:rFonts w:hint="default" w:ascii="宋体" w:hAnsi="宋体" w:eastAsia="宋体"/>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KSOF7FC4CF2A">
    <w:panose1 w:val="020B0604020202020204"/>
    <w:charset w:val="00"/>
    <w:family w:val="auto"/>
    <w:pitch w:val="default"/>
    <w:sig w:usb0="00000001"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113306"/>
    <w:multiLevelType w:val="singleLevel"/>
    <w:tmpl w:val="58113306"/>
    <w:lvl w:ilvl="0" w:tentative="0">
      <w:start w:val="1"/>
      <w:numFmt w:val="decimal"/>
      <w:suff w:val="space"/>
      <w:lvlText w:val="[%1]"/>
      <w:lvlJc w:val="left"/>
    </w:lvl>
  </w:abstractNum>
  <w:abstractNum w:abstractNumId="1">
    <w:nsid w:val="7041F509"/>
    <w:multiLevelType w:val="singleLevel"/>
    <w:tmpl w:val="7041F50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826BA3"/>
    <w:rsid w:val="00093E19"/>
    <w:rsid w:val="00616A57"/>
    <w:rsid w:val="009D244D"/>
    <w:rsid w:val="00B13200"/>
    <w:rsid w:val="00B152FF"/>
    <w:rsid w:val="00F80B0F"/>
    <w:rsid w:val="22A5275A"/>
    <w:rsid w:val="3682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character" w:customStyle="1" w:styleId="7">
    <w:name w:val="页眉 字符"/>
    <w:basedOn w:val="5"/>
    <w:link w:val="3"/>
    <w:qFormat/>
    <w:uiPriority w:val="0"/>
    <w:rPr>
      <w:kern w:val="2"/>
      <w:sz w:val="18"/>
      <w:szCs w:val="18"/>
    </w:rPr>
  </w:style>
  <w:style w:type="character" w:customStyle="1" w:styleId="8">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1179</Words>
  <Characters>1329</Characters>
  <Lines>9</Lines>
  <Paragraphs>2</Paragraphs>
  <TotalTime>106</TotalTime>
  <ScaleCrop>false</ScaleCrop>
  <LinksUpToDate>false</LinksUpToDate>
  <CharactersWithSpaces>1361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2026-05-11T11:33:00Z</dcterms:created>
  <dc:creator>任隽浩</dc:creator>
  <cp:lastModifiedBy>任隽浩</cp:lastModifiedBy>
  <dcterms:modified xsi:type="dcterms:W3CDTF">2026-05-17T14:38:44Z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078D75094B184603BBEF357078820FCE_11</vt:lpwstr>
  </property>
  <property fmtid="{D5CDD505-2E9C-101B-9397-08002B2CF9AE}" pid="4" name="KSOTemplateDocerSaveRecord">
    <vt:lpwstr>eyJoZGlkIjoiOWIzODRkYzg3OGQwOTE0MDlhOTZjYmZiNDg3ZmUwMmUiLCJ1c2VySWQiOiIxNzM2MzkyOTQ5In0=</vt:lpwstr>
  </property>
</Properties>
</file>